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C75" w:rsidRPr="00334CB4" w:rsidP="00BF5C75">
      <w:pPr>
        <w:spacing w:after="0" w:line="240" w:lineRule="auto"/>
        <w:ind w:left="284" w:right="282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№05-0248/2604/2025</w:t>
      </w:r>
    </w:p>
    <w:p w:rsidR="00BF5C75" w:rsidRPr="00334CB4" w:rsidP="00BF5C75">
      <w:pPr>
        <w:tabs>
          <w:tab w:val="left" w:pos="3495"/>
        </w:tabs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F5C75" w:rsidRPr="00334CB4" w:rsidP="00BF5C75">
      <w:pPr>
        <w:tabs>
          <w:tab w:val="left" w:pos="3495"/>
        </w:tabs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BF5C75" w:rsidRPr="00334CB4" w:rsidP="00BF5C75">
      <w:pPr>
        <w:tabs>
          <w:tab w:val="left" w:pos="3495"/>
        </w:tabs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BF5C75" w:rsidRPr="00334CB4" w:rsidP="00BF5C75">
      <w:pPr>
        <w:tabs>
          <w:tab w:val="left" w:pos="3495"/>
        </w:tabs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F5C75" w:rsidRPr="00334CB4" w:rsidP="00BF5C75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Сургут                                                                 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 марта 2025 года</w:t>
      </w:r>
    </w:p>
    <w:p w:rsidR="00BF5C75" w:rsidRPr="00334CB4" w:rsidP="00BF5C75">
      <w:pPr>
        <w:spacing w:after="0" w:line="240" w:lineRule="auto"/>
        <w:ind w:left="284" w:right="2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присутствии лица, в отношении которого ведется производство по делу об административном правонарушении – Родионова Алексея Вячеславовича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Родионова Алексея Вячеславовича</w:t>
      </w:r>
      <w:r w:rsidRPr="00334C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7 КоАП РФ,</w:t>
      </w:r>
    </w:p>
    <w:p w:rsidR="00BF5C75" w:rsidRPr="00334CB4" w:rsidP="00BF5C75">
      <w:pPr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BF5C75" w:rsidRPr="00334CB4" w:rsidP="00BF5C7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03.03.2025 в 19 часов 57 минут установлено, гр. Родионов Алексей Вячеславович, находясь в магазине АО расположенном по адресу: г. Сургут,  похитил товар: водка «Беленькая люкс» 40%, 0,25 л, в количестве 1 шт. фактической стоимостью 219,99 рублей, чем причинил АО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незначительный материальный ущерб на сумму 219,99 рублей, то есть совершил мелкое хищение чужого имущества стоимостью менее 1000 рублей, путем кражи при отсутствии признаков преступления, предусмотренных частями 2, 3, 4 статьи 158 УК РФ, статьи 158.1 УК РФ, частями 2, 3, 4 статьи 159 УК РФ, частями 2, 3, 4 статьи 159.1 УК РФ, частями 2, 3, 4 статьи 159.2 УК РФ, частями 2, 3, 4 статьи 159.3 УК РФ, частями 2, 3, 4 статьи 159.5 УК РФ, частями 2, 3, 4 статьи 159.6 УК РФ, частями 2, 3 статьи 160 УК РФ. </w:t>
      </w:r>
    </w:p>
    <w:p w:rsidR="00BF5C75" w:rsidRPr="00334CB4" w:rsidP="00BF5C75">
      <w:pPr>
        <w:shd w:val="clear" w:color="auto" w:fill="FFFFFF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 Алексей Вячеславович в ходе рассмотрения дела вину пытался оспаривать, указывая, что оплатил товар, впоследствии указал, что был пьян и плохо помнит в моменте.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потерпевшего АО на рассмотрение дела не явился, просил о рассмотрении дела в его отсутствие.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hAnsi="Times New Roman" w:cs="Times New Roman"/>
          <w:sz w:val="27"/>
          <w:szCs w:val="27"/>
          <w:lang w:eastAsia="ru-RU"/>
        </w:rPr>
        <w:t>Изучив материалы дела, заслушав Родионова Алексея Вячеславовича, мировой судья приходит к следующему.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hAnsi="Times New Roman" w:cs="Times New Roman"/>
          <w:sz w:val="27"/>
          <w:szCs w:val="27"/>
          <w:lang w:eastAsia="ru-RU"/>
        </w:rPr>
        <w:t xml:space="preserve">В обоснование виновности Родионова Алексея Вячеславовича в совершении административного правонарушения представлены следующие доказательства: протокол об административном правонарушении 86 № 388018 от 04.03.2025, рапорт сотрудника полиции, заявление, справка об ущербе, товарная накладная, расписка, акт контрольно-ревизионной проверки, диск с видеозаписью правонарушения, копия доверенности, объяснения Родионова Алексея Вячеславовича, ходатайство представителя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АО </w:t>
      </w:r>
      <w:r w:rsidRPr="00334CB4">
        <w:rPr>
          <w:rFonts w:ascii="Times New Roman" w:hAnsi="Times New Roman" w:cs="Times New Roman"/>
          <w:sz w:val="27"/>
          <w:szCs w:val="27"/>
          <w:lang w:eastAsia="ru-RU"/>
        </w:rPr>
        <w:t>справка на физ. лицо, протокол о задержании лица.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Совокупность представленных доказательств, которые мировой судья признает относимыми и допустимыми, позволяет суду сделать вывод о виновности Родионова Алексея Вячеславовича в совершении инкриминируемого правонарушения.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совокупности изложенных обстоятельств, действия Родионова Алексея Вячеславовича подлежат квалификации по части 1 статьи 7.27 КоАП РФ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</w:t>
      </w:r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елкое хищение чужого имущества стоимостью менее одной тысячи рублей путем кражи, мошенничества, присвоения или растраты при отсутствии признаков преступлений, предусмотренных </w:t>
      </w:r>
      <w:hyperlink r:id="rId4" w:anchor="/document/10108000/entry/158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8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81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158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810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 158.1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1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1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1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159.1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2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2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2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159.2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3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3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3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159.3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5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5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5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159.5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6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hyperlink r:id="rId4" w:anchor="/document/10108000/entry/15906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59064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четвертой статьи 159.6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6002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частями второй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hyperlink r:id="rId4" w:anchor="/document/10108000/entry/1600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третьей статьи 160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4" w:anchor="/document/12125267/entry/141503" w:history="1">
        <w:r w:rsidRPr="00334C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статьей 14.15.3</w:t>
        </w:r>
      </w:hyperlink>
      <w:r w:rsidRPr="00334C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Кодекса,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судом не установлено.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отягчающим административную ответственность Родионова Алексея Вячеславовича обстоятельством факт его привлечения повторно в течение года к административной ответственности по главе 7 КоАП РФ. Между тем, должных выводов из данного факта Родионов не сделал, продолжил противоправное поведение.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определении меры наказания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334CB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суд учитывает характер и степень общественной опасности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правонарушения</w:t>
      </w:r>
      <w:r w:rsidRPr="00334CB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данные о личности нарушителя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материальное положение, его безразличное отношение к вменяемому ему административному правонарушению.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Согласно ст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x-none"/>
        </w:rPr>
        <w:t>атье</w:t>
      </w:r>
      <w:r w:rsidRPr="00334CB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санкции статьи в качестве наказания предусмотрено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50 часов.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2 статьи 3.9 КоАП РФ административный арест устанавливается и назначается лишь в </w:t>
      </w:r>
      <w:hyperlink r:id="rId5" w:history="1">
        <w:r w:rsidRPr="00334CB4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исключительных случаях</w:t>
        </w:r>
      </w:hyperlink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отдельные виды административных правонарушений. 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полагает, что с учетом данных о личности Родионова Алексея Вячеславовича, учитывая характер совершенного административного правонарушения, обстоятельства, смягчающие административную ответственность и отягчающие вину обстоятельства, мировой судья назначает Родионову Алексею Вячеславовичу административное наказание в виде административного ареста полагая нецелесообразным назначение наказания в виде штрафа и обязательных работ. Указанный вид наказания является в данном случае справедливым и соразмерным содеянному, будет иметь превентивную функцию, способствовать предупреждению совершения административных правонарушений привлекаемым и иными лицами. </w:t>
      </w:r>
    </w:p>
    <w:p w:rsidR="00BF5C75" w:rsidRPr="00334CB4" w:rsidP="00BF5C75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Родионов А.В. суду не заявил.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Учитывая, что </w:t>
      </w:r>
      <w:r w:rsidRPr="00334C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 основании постановления Сургутского городского суда ХМАО-Югры от 05.03.2025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Родионову Алексею Вячеславовичу</w:t>
      </w:r>
      <w:r w:rsidRPr="00334C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уже назначено </w:t>
      </w:r>
      <w:r w:rsidRPr="00334C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BF5C75" w:rsidRPr="00334CB4" w:rsidP="00BF5C75">
      <w:pPr>
        <w:autoSpaceDE w:val="0"/>
        <w:autoSpaceDN w:val="0"/>
        <w:adjustRightInd w:val="0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вышеизложенного, и руководствуясь, статьями 29.9-29.11 Кодекса Российской Федерации об административных правонарушениях, мировой судья</w:t>
      </w:r>
    </w:p>
    <w:p w:rsidR="00BF5C75" w:rsidRPr="00334CB4" w:rsidP="00BF5C75">
      <w:pPr>
        <w:spacing w:after="0" w:line="240" w:lineRule="auto"/>
        <w:ind w:left="284" w:right="282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F5C75" w:rsidRPr="00334CB4" w:rsidP="00BF5C7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Родионова Алексея Вячеславовича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рассмотрения дела в судебном заседании, </w:t>
      </w:r>
      <w:r w:rsidRPr="00334CB4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то есть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с 06.03.2025 с 15:29.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отбытие срока наказания. </w:t>
      </w:r>
    </w:p>
    <w:p w:rsidR="00BF5C75" w:rsidRPr="00334CB4" w:rsidP="00BF5C75">
      <w:pPr>
        <w:spacing w:after="0" w:line="240" w:lineRule="auto"/>
        <w:ind w:left="284" w:right="28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5C75" w:rsidRPr="00334CB4" w:rsidP="00BF5C75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334C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Н.В. Разумная</w:t>
      </w:r>
    </w:p>
    <w:p w:rsidR="00BF5C75" w:rsidRPr="00334CB4" w:rsidP="00BF5C75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5C75" w:rsidRPr="00334CB4" w:rsidP="00BF5C75">
      <w:pPr>
        <w:ind w:left="284" w:right="282" w:firstLine="709"/>
        <w:rPr>
          <w:sz w:val="27"/>
          <w:szCs w:val="27"/>
        </w:rPr>
      </w:pPr>
    </w:p>
    <w:p w:rsidR="00BF5C75" w:rsidRPr="00334CB4" w:rsidP="00BF5C75">
      <w:pPr>
        <w:ind w:left="284" w:right="282" w:firstLine="709"/>
        <w:rPr>
          <w:sz w:val="27"/>
          <w:szCs w:val="27"/>
        </w:rPr>
      </w:pPr>
    </w:p>
    <w:p w:rsidR="00BF5C75" w:rsidRPr="00334CB4" w:rsidP="00BF5C75">
      <w:pPr>
        <w:ind w:left="284" w:right="282" w:firstLine="709"/>
        <w:rPr>
          <w:sz w:val="27"/>
          <w:szCs w:val="27"/>
        </w:rPr>
      </w:pPr>
    </w:p>
    <w:p w:rsidR="00BF5C75" w:rsidRPr="00334CB4" w:rsidP="00BF5C75">
      <w:pPr>
        <w:ind w:left="284" w:right="282" w:firstLine="709"/>
        <w:rPr>
          <w:sz w:val="27"/>
          <w:szCs w:val="27"/>
        </w:rPr>
      </w:pPr>
    </w:p>
    <w:p w:rsidR="00BF5C75" w:rsidRPr="00334CB4" w:rsidP="00BF5C75">
      <w:pPr>
        <w:rPr>
          <w:sz w:val="27"/>
          <w:szCs w:val="27"/>
        </w:rPr>
      </w:pPr>
    </w:p>
    <w:p w:rsidR="001B3F1B"/>
    <w:sectPr w:rsidSect="006233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75"/>
    <w:rsid w:val="001B3F1B"/>
    <w:rsid w:val="00334CB4"/>
    <w:rsid w:val="00BF5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B2B447-04FF-428A-90D6-AC5A22E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